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B5462C" w:rsidRPr="00B5462C">
        <w:rPr>
          <w:sz w:val="28"/>
          <w:szCs w:val="28"/>
        </w:rPr>
        <w:t>Rot, gelb, grün</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B5462C" w:rsidTr="00B5462C">
        <w:tc>
          <w:tcPr>
            <w:tcW w:w="2466" w:type="dxa"/>
            <w:vAlign w:val="center"/>
          </w:tcPr>
          <w:p w:rsidR="00B5462C" w:rsidRPr="00A069A7" w:rsidRDefault="00B5462C" w:rsidP="00C14828">
            <w:pPr>
              <w:pStyle w:val="IQB-Merkmal"/>
            </w:pPr>
            <w:r w:rsidRPr="00A069A7">
              <w:t>Leitidee</w:t>
            </w:r>
          </w:p>
        </w:tc>
        <w:tc>
          <w:tcPr>
            <w:tcW w:w="6604" w:type="dxa"/>
          </w:tcPr>
          <w:p w:rsidR="00B5462C" w:rsidRPr="00A069A7" w:rsidRDefault="00B5462C" w:rsidP="00C14828">
            <w:pPr>
              <w:pStyle w:val="IQB-Merkmalswert"/>
              <w:rPr>
                <w:sz w:val="22"/>
                <w:szCs w:val="22"/>
              </w:rPr>
            </w:pPr>
            <w:r w:rsidRPr="00A069A7">
              <w:rPr>
                <w:sz w:val="22"/>
                <w:szCs w:val="22"/>
              </w:rPr>
              <w:t>Daten und Zufall (L5)</w:t>
            </w:r>
          </w:p>
        </w:tc>
      </w:tr>
      <w:tr w:rsidR="00B5462C" w:rsidTr="00B5462C">
        <w:tc>
          <w:tcPr>
            <w:tcW w:w="2466" w:type="dxa"/>
            <w:vAlign w:val="center"/>
          </w:tcPr>
          <w:p w:rsidR="00B5462C" w:rsidRPr="00A069A7" w:rsidRDefault="00B5462C" w:rsidP="00C14828">
            <w:pPr>
              <w:pStyle w:val="IQB-Merkmal"/>
            </w:pPr>
            <w:r w:rsidRPr="00A069A7">
              <w:t>Allgemeine Kompetenzen</w:t>
            </w:r>
          </w:p>
        </w:tc>
        <w:tc>
          <w:tcPr>
            <w:tcW w:w="6604" w:type="dxa"/>
          </w:tcPr>
          <w:p w:rsidR="00B5462C" w:rsidRPr="00A069A7" w:rsidRDefault="00B5462C" w:rsidP="00C14828">
            <w:pPr>
              <w:pStyle w:val="IQB-Merkmalswert"/>
              <w:rPr>
                <w:sz w:val="22"/>
                <w:szCs w:val="22"/>
              </w:rPr>
            </w:pPr>
            <w:r w:rsidRPr="00A069A7">
              <w:rPr>
                <w:sz w:val="22"/>
                <w:szCs w:val="22"/>
              </w:rPr>
              <w:t>Mathematisch modellieren (K3)</w:t>
            </w:r>
          </w:p>
        </w:tc>
      </w:tr>
      <w:tr w:rsidR="00B5462C" w:rsidTr="00B5462C">
        <w:tc>
          <w:tcPr>
            <w:tcW w:w="2466" w:type="dxa"/>
            <w:vAlign w:val="center"/>
          </w:tcPr>
          <w:p w:rsidR="00B5462C" w:rsidRPr="00A069A7" w:rsidRDefault="00B5462C" w:rsidP="00C14828">
            <w:pPr>
              <w:pStyle w:val="IQB-Merkmal"/>
            </w:pPr>
            <w:r w:rsidRPr="00A069A7">
              <w:t>Anforderungsbereich</w:t>
            </w:r>
          </w:p>
        </w:tc>
        <w:tc>
          <w:tcPr>
            <w:tcW w:w="6604" w:type="dxa"/>
          </w:tcPr>
          <w:p w:rsidR="00B5462C" w:rsidRPr="00A069A7" w:rsidRDefault="00B5462C" w:rsidP="00C14828">
            <w:pPr>
              <w:pStyle w:val="IQB-Merkmalswert"/>
              <w:rPr>
                <w:sz w:val="22"/>
                <w:szCs w:val="22"/>
              </w:rPr>
            </w:pPr>
            <w:r w:rsidRPr="00A069A7">
              <w:rPr>
                <w:sz w:val="22"/>
                <w:szCs w:val="22"/>
              </w:rPr>
              <w:t>I</w:t>
            </w:r>
          </w:p>
        </w:tc>
      </w:tr>
      <w:tr w:rsidR="00B5462C" w:rsidTr="00B5462C">
        <w:tc>
          <w:tcPr>
            <w:tcW w:w="2466" w:type="dxa"/>
            <w:vAlign w:val="center"/>
          </w:tcPr>
          <w:p w:rsidR="00B5462C" w:rsidRPr="00A069A7" w:rsidRDefault="00B5462C" w:rsidP="00C14828">
            <w:pPr>
              <w:pStyle w:val="IQB-Merkmal"/>
            </w:pPr>
            <w:r w:rsidRPr="00A069A7">
              <w:t>Kompetenzstufe</w:t>
            </w:r>
          </w:p>
        </w:tc>
        <w:tc>
          <w:tcPr>
            <w:tcW w:w="6604" w:type="dxa"/>
          </w:tcPr>
          <w:p w:rsidR="00B5462C" w:rsidRPr="00A069A7" w:rsidRDefault="00B5462C" w:rsidP="00C14828">
            <w:pPr>
              <w:pStyle w:val="IQB-Merkmalswert"/>
              <w:rPr>
                <w:sz w:val="22"/>
                <w:szCs w:val="22"/>
              </w:rPr>
            </w:pPr>
            <w:r w:rsidRPr="00A069A7">
              <w:rPr>
                <w:sz w:val="22"/>
                <w:szCs w:val="22"/>
              </w:rPr>
              <w:t>1b</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B5462C" w:rsidTr="00B5462C">
        <w:tc>
          <w:tcPr>
            <w:tcW w:w="2466" w:type="dxa"/>
            <w:vAlign w:val="center"/>
          </w:tcPr>
          <w:p w:rsidR="00B5462C" w:rsidRPr="00A069A7" w:rsidRDefault="00B5462C" w:rsidP="00C14828">
            <w:pPr>
              <w:pStyle w:val="IQB-Merkmal"/>
            </w:pPr>
            <w:r w:rsidRPr="00A069A7">
              <w:t>Leitidee</w:t>
            </w:r>
          </w:p>
        </w:tc>
        <w:tc>
          <w:tcPr>
            <w:tcW w:w="6604" w:type="dxa"/>
          </w:tcPr>
          <w:p w:rsidR="00B5462C" w:rsidRPr="00A069A7" w:rsidRDefault="00B5462C" w:rsidP="00C14828">
            <w:pPr>
              <w:pStyle w:val="IQB-Merkmalswert"/>
              <w:rPr>
                <w:sz w:val="22"/>
                <w:szCs w:val="22"/>
              </w:rPr>
            </w:pPr>
            <w:r w:rsidRPr="00A069A7">
              <w:rPr>
                <w:sz w:val="22"/>
                <w:szCs w:val="22"/>
              </w:rPr>
              <w:t>Daten und Zufall (L5)</w:t>
            </w:r>
          </w:p>
        </w:tc>
      </w:tr>
      <w:tr w:rsidR="00B5462C" w:rsidTr="00B5462C">
        <w:tc>
          <w:tcPr>
            <w:tcW w:w="2466" w:type="dxa"/>
            <w:vAlign w:val="center"/>
          </w:tcPr>
          <w:p w:rsidR="00B5462C" w:rsidRPr="00A069A7" w:rsidRDefault="00B5462C" w:rsidP="00C14828">
            <w:pPr>
              <w:pStyle w:val="IQB-Merkmal"/>
            </w:pPr>
            <w:r w:rsidRPr="00A069A7">
              <w:t>Allgemeine Kompetenzen</w:t>
            </w:r>
          </w:p>
        </w:tc>
        <w:tc>
          <w:tcPr>
            <w:tcW w:w="6604" w:type="dxa"/>
          </w:tcPr>
          <w:p w:rsidR="00B5462C" w:rsidRDefault="00B5462C" w:rsidP="00C14828">
            <w:pPr>
              <w:pStyle w:val="IQB-Merkmalswert"/>
              <w:rPr>
                <w:sz w:val="22"/>
                <w:szCs w:val="22"/>
              </w:rPr>
            </w:pPr>
            <w:r w:rsidRPr="00A069A7">
              <w:rPr>
                <w:sz w:val="22"/>
                <w:szCs w:val="22"/>
              </w:rPr>
              <w:t>M</w:t>
            </w:r>
            <w:r>
              <w:rPr>
                <w:sz w:val="22"/>
                <w:szCs w:val="22"/>
              </w:rPr>
              <w:t>athematisch argumentieren (K1)</w:t>
            </w:r>
          </w:p>
          <w:p w:rsidR="00B5462C" w:rsidRPr="00A069A7" w:rsidRDefault="00B5462C" w:rsidP="00C14828">
            <w:pPr>
              <w:pStyle w:val="IQB-Merkmalswert"/>
              <w:rPr>
                <w:sz w:val="22"/>
                <w:szCs w:val="22"/>
              </w:rPr>
            </w:pPr>
            <w:r w:rsidRPr="00A069A7">
              <w:rPr>
                <w:sz w:val="22"/>
                <w:szCs w:val="22"/>
              </w:rPr>
              <w:t>Mathematisch modellieren (K3)</w:t>
            </w:r>
          </w:p>
        </w:tc>
      </w:tr>
      <w:tr w:rsidR="00B5462C" w:rsidTr="00B5462C">
        <w:tc>
          <w:tcPr>
            <w:tcW w:w="2466" w:type="dxa"/>
            <w:vAlign w:val="center"/>
          </w:tcPr>
          <w:p w:rsidR="00B5462C" w:rsidRPr="00A069A7" w:rsidRDefault="00B5462C" w:rsidP="00C14828">
            <w:pPr>
              <w:pStyle w:val="IQB-Merkmal"/>
            </w:pPr>
            <w:r w:rsidRPr="00A069A7">
              <w:t>Anforderungsbereich</w:t>
            </w:r>
          </w:p>
        </w:tc>
        <w:tc>
          <w:tcPr>
            <w:tcW w:w="6604" w:type="dxa"/>
          </w:tcPr>
          <w:p w:rsidR="00B5462C" w:rsidRPr="00A069A7" w:rsidRDefault="00B5462C" w:rsidP="00C14828">
            <w:pPr>
              <w:pStyle w:val="IQB-Merkmalswert"/>
              <w:rPr>
                <w:sz w:val="22"/>
                <w:szCs w:val="22"/>
              </w:rPr>
            </w:pPr>
            <w:r w:rsidRPr="00A069A7">
              <w:rPr>
                <w:sz w:val="22"/>
                <w:szCs w:val="22"/>
              </w:rPr>
              <w:t>II</w:t>
            </w:r>
          </w:p>
        </w:tc>
      </w:tr>
      <w:tr w:rsidR="00B5462C" w:rsidTr="00B5462C">
        <w:tc>
          <w:tcPr>
            <w:tcW w:w="2466" w:type="dxa"/>
            <w:vAlign w:val="center"/>
          </w:tcPr>
          <w:p w:rsidR="00B5462C" w:rsidRPr="00A069A7" w:rsidRDefault="00B5462C" w:rsidP="00C14828">
            <w:pPr>
              <w:pStyle w:val="IQB-Merkmal"/>
            </w:pPr>
            <w:r w:rsidRPr="00A069A7">
              <w:t>Kompetenzstufe</w:t>
            </w:r>
          </w:p>
        </w:tc>
        <w:tc>
          <w:tcPr>
            <w:tcW w:w="6604" w:type="dxa"/>
          </w:tcPr>
          <w:p w:rsidR="00B5462C" w:rsidRPr="00A069A7" w:rsidRDefault="00B5462C" w:rsidP="00C14828">
            <w:pPr>
              <w:pStyle w:val="IQB-Merkmalswert"/>
              <w:rPr>
                <w:sz w:val="22"/>
                <w:szCs w:val="22"/>
              </w:rPr>
            </w:pPr>
            <w:r w:rsidRPr="00A069A7">
              <w:rPr>
                <w:sz w:val="22"/>
                <w:szCs w:val="22"/>
              </w:rPr>
              <w:t>4</w:t>
            </w:r>
          </w:p>
        </w:tc>
      </w:tr>
    </w:tbl>
    <w:p w:rsidR="00694A63" w:rsidRPr="00694A63" w:rsidRDefault="00694A63" w:rsidP="00694A63">
      <w:pPr>
        <w:pStyle w:val="IQB-Teilaufgabentitel"/>
        <w:rPr>
          <w:b/>
        </w:rPr>
      </w:pPr>
      <w:r w:rsidRPr="00694A63">
        <w:rPr>
          <w:b/>
        </w:rPr>
        <w:t>Aufgabenbezogener Kommentar</w:t>
      </w:r>
    </w:p>
    <w:p w:rsidR="00B5462C" w:rsidRPr="00B5462C" w:rsidRDefault="00B5462C" w:rsidP="00B5462C">
      <w:pPr>
        <w:jc w:val="both"/>
        <w:rPr>
          <w:rFonts w:ascii="Arial" w:hAnsi="Arial"/>
          <w:sz w:val="22"/>
          <w:szCs w:val="22"/>
        </w:rPr>
      </w:pPr>
      <w:r w:rsidRPr="00B5462C">
        <w:rPr>
          <w:rFonts w:ascii="Arial" w:hAnsi="Arial"/>
          <w:sz w:val="22"/>
          <w:szCs w:val="22"/>
        </w:rPr>
        <w:t xml:space="preserve">In dieser Aufgabe geht es um ein Standardmodell der Wahrscheinlichkeitsrechnung, Ziehen mit Zurücklegen. Daher gehört die Aufgabe zur Leitidee </w:t>
      </w:r>
      <w:r w:rsidRPr="00B5462C">
        <w:rPr>
          <w:rFonts w:ascii="Arial" w:hAnsi="Arial"/>
          <w:i/>
          <w:sz w:val="22"/>
          <w:szCs w:val="22"/>
        </w:rPr>
        <w:t>Daten und Zufall</w:t>
      </w:r>
      <w:r w:rsidRPr="00B5462C">
        <w:rPr>
          <w:rFonts w:ascii="Arial" w:hAnsi="Arial"/>
          <w:sz w:val="22"/>
          <w:szCs w:val="22"/>
        </w:rPr>
        <w:t> (L5).</w:t>
      </w:r>
    </w:p>
    <w:p w:rsidR="00B5462C" w:rsidRPr="00B5462C" w:rsidRDefault="00B5462C" w:rsidP="00B5462C">
      <w:pPr>
        <w:jc w:val="both"/>
        <w:rPr>
          <w:rFonts w:ascii="Arial" w:hAnsi="Arial"/>
          <w:sz w:val="22"/>
          <w:szCs w:val="22"/>
        </w:rPr>
      </w:pPr>
    </w:p>
    <w:p w:rsidR="00B5462C" w:rsidRPr="00B5462C" w:rsidRDefault="00B5462C" w:rsidP="00B5462C">
      <w:pPr>
        <w:jc w:val="both"/>
        <w:rPr>
          <w:rFonts w:ascii="Arial" w:hAnsi="Arial"/>
          <w:sz w:val="22"/>
          <w:szCs w:val="22"/>
          <w:lang w:val="x-none" w:eastAsia="x-none"/>
        </w:rPr>
      </w:pPr>
      <w:r w:rsidRPr="00B5462C">
        <w:rPr>
          <w:rFonts w:ascii="Arial" w:hAnsi="Arial"/>
          <w:sz w:val="22"/>
          <w:szCs w:val="22"/>
          <w:lang w:val="x-none" w:eastAsia="x-none"/>
        </w:rPr>
        <w:t xml:space="preserve">In beiden Teilaufgaben muss dieses Standardmodell erkannt und innermathematisch genutzt werden. Daher wird in beiden Teilaufgaben die Kompetenz </w:t>
      </w:r>
      <w:r w:rsidRPr="00B5462C">
        <w:rPr>
          <w:rFonts w:ascii="Arial" w:hAnsi="Arial"/>
          <w:i/>
          <w:sz w:val="22"/>
          <w:szCs w:val="22"/>
          <w:lang w:eastAsia="x-none"/>
        </w:rPr>
        <w:t>M</w:t>
      </w:r>
      <w:r w:rsidRPr="00B5462C">
        <w:rPr>
          <w:rFonts w:ascii="Arial" w:hAnsi="Arial"/>
          <w:i/>
          <w:sz w:val="22"/>
          <w:szCs w:val="22"/>
          <w:lang w:val="x-none" w:eastAsia="x-none"/>
        </w:rPr>
        <w:t>athematisch</w:t>
      </w:r>
      <w:r w:rsidRPr="00B5462C">
        <w:rPr>
          <w:rFonts w:ascii="Arial" w:hAnsi="Arial"/>
          <w:i/>
          <w:sz w:val="22"/>
          <w:szCs w:val="22"/>
          <w:lang w:eastAsia="x-none"/>
        </w:rPr>
        <w:t xml:space="preserve"> </w:t>
      </w:r>
      <w:r w:rsidRPr="00B5462C">
        <w:rPr>
          <w:rFonts w:ascii="Arial" w:hAnsi="Arial"/>
          <w:i/>
          <w:sz w:val="22"/>
          <w:szCs w:val="22"/>
          <w:lang w:val="x-none" w:eastAsia="x-none"/>
        </w:rPr>
        <w:t>modellieren</w:t>
      </w:r>
      <w:r w:rsidRPr="00B5462C">
        <w:rPr>
          <w:rFonts w:ascii="Arial" w:hAnsi="Arial"/>
          <w:sz w:val="22"/>
          <w:szCs w:val="22"/>
          <w:lang w:eastAsia="x-none"/>
        </w:rPr>
        <w:t> </w:t>
      </w:r>
      <w:r w:rsidRPr="00B5462C">
        <w:rPr>
          <w:rFonts w:ascii="Arial" w:hAnsi="Arial"/>
          <w:sz w:val="22"/>
          <w:szCs w:val="22"/>
          <w:lang w:val="x-none" w:eastAsia="x-none"/>
        </w:rPr>
        <w:t>(K3) benötigt. In Teilaufgabe</w:t>
      </w:r>
      <w:r w:rsidRPr="00B5462C">
        <w:rPr>
          <w:rFonts w:ascii="Arial" w:hAnsi="Arial"/>
          <w:sz w:val="22"/>
          <w:szCs w:val="22"/>
          <w:lang w:eastAsia="x-none"/>
        </w:rPr>
        <w:t> </w:t>
      </w:r>
      <w:r w:rsidRPr="00B5462C">
        <w:rPr>
          <w:rFonts w:ascii="Arial" w:hAnsi="Arial"/>
          <w:sz w:val="22"/>
          <w:szCs w:val="22"/>
          <w:lang w:val="x-none" w:eastAsia="x-none"/>
        </w:rPr>
        <w:t xml:space="preserve">2 muss zusätzlich die Antwort begründet werden. Daher wird dort auch die Kompetenz </w:t>
      </w:r>
      <w:r w:rsidRPr="00B5462C">
        <w:rPr>
          <w:rFonts w:ascii="Arial" w:hAnsi="Arial"/>
          <w:i/>
          <w:sz w:val="22"/>
          <w:szCs w:val="22"/>
          <w:lang w:eastAsia="x-none"/>
        </w:rPr>
        <w:t>M</w:t>
      </w:r>
      <w:r w:rsidRPr="00B5462C">
        <w:rPr>
          <w:rFonts w:ascii="Arial" w:hAnsi="Arial"/>
          <w:i/>
          <w:sz w:val="22"/>
          <w:szCs w:val="22"/>
          <w:lang w:val="x-none" w:eastAsia="x-none"/>
        </w:rPr>
        <w:t>athematisch</w:t>
      </w:r>
      <w:r w:rsidRPr="00B5462C">
        <w:rPr>
          <w:rFonts w:ascii="Arial" w:hAnsi="Arial"/>
          <w:i/>
          <w:sz w:val="22"/>
          <w:szCs w:val="22"/>
          <w:lang w:eastAsia="x-none"/>
        </w:rPr>
        <w:t xml:space="preserve"> </w:t>
      </w:r>
      <w:r w:rsidRPr="00B5462C">
        <w:rPr>
          <w:rFonts w:ascii="Arial" w:hAnsi="Arial"/>
          <w:i/>
          <w:sz w:val="22"/>
          <w:szCs w:val="22"/>
          <w:lang w:val="x-none" w:eastAsia="x-none"/>
        </w:rPr>
        <w:t>argumentieren</w:t>
      </w:r>
      <w:r w:rsidRPr="00B5462C">
        <w:rPr>
          <w:rFonts w:ascii="Arial" w:hAnsi="Arial"/>
          <w:sz w:val="22"/>
          <w:szCs w:val="22"/>
          <w:lang w:eastAsia="x-none"/>
        </w:rPr>
        <w:t> </w:t>
      </w:r>
      <w:r w:rsidRPr="00B5462C">
        <w:rPr>
          <w:rFonts w:ascii="Arial" w:hAnsi="Arial"/>
          <w:sz w:val="22"/>
          <w:szCs w:val="22"/>
          <w:lang w:val="x-none" w:eastAsia="x-none"/>
        </w:rPr>
        <w:t>(K1) verlangt.</w:t>
      </w:r>
    </w:p>
    <w:p w:rsidR="00B5462C" w:rsidRPr="00B5462C" w:rsidRDefault="00B5462C" w:rsidP="00B5462C">
      <w:pPr>
        <w:jc w:val="both"/>
        <w:rPr>
          <w:rFonts w:ascii="Arial" w:hAnsi="Arial"/>
          <w:sz w:val="22"/>
          <w:szCs w:val="22"/>
          <w:lang w:val="x-none" w:eastAsia="x-none"/>
        </w:rPr>
      </w:pPr>
    </w:p>
    <w:p w:rsidR="00B5462C" w:rsidRPr="00B5462C" w:rsidRDefault="00B5462C" w:rsidP="00B5462C">
      <w:pPr>
        <w:jc w:val="both"/>
        <w:rPr>
          <w:rFonts w:ascii="Arial" w:hAnsi="Arial"/>
          <w:sz w:val="22"/>
          <w:szCs w:val="22"/>
          <w:lang w:eastAsia="x-none"/>
        </w:rPr>
      </w:pPr>
      <w:r w:rsidRPr="00B5462C">
        <w:rPr>
          <w:rFonts w:ascii="Arial" w:hAnsi="Arial"/>
          <w:sz w:val="22"/>
          <w:szCs w:val="22"/>
          <w:lang w:val="x-none" w:eastAsia="x-none"/>
        </w:rPr>
        <w:t>In Teilaufgabe</w:t>
      </w:r>
      <w:r w:rsidRPr="00B5462C">
        <w:rPr>
          <w:rFonts w:ascii="Arial" w:hAnsi="Arial"/>
          <w:sz w:val="22"/>
          <w:szCs w:val="22"/>
          <w:lang w:eastAsia="x-none"/>
        </w:rPr>
        <w:t> </w:t>
      </w:r>
      <w:r w:rsidRPr="00B5462C">
        <w:rPr>
          <w:rFonts w:ascii="Arial" w:hAnsi="Arial"/>
          <w:sz w:val="22"/>
          <w:szCs w:val="22"/>
          <w:lang w:val="x-none" w:eastAsia="x-none"/>
        </w:rPr>
        <w:t>1 wird lediglich ein vertrautes und direkt erkennbares Modelle genutzt. Somit gehört Teilaufgabe</w:t>
      </w:r>
      <w:r w:rsidRPr="00B5462C">
        <w:rPr>
          <w:rFonts w:ascii="Arial" w:hAnsi="Arial"/>
          <w:sz w:val="22"/>
          <w:szCs w:val="22"/>
          <w:lang w:eastAsia="x-none"/>
        </w:rPr>
        <w:t> </w:t>
      </w:r>
      <w:r w:rsidRPr="00B5462C">
        <w:rPr>
          <w:rFonts w:ascii="Arial" w:hAnsi="Arial"/>
          <w:sz w:val="22"/>
          <w:szCs w:val="22"/>
          <w:lang w:val="x-none" w:eastAsia="x-none"/>
        </w:rPr>
        <w:t>1 in den Anforderungsbereich</w:t>
      </w:r>
      <w:r w:rsidRPr="00B5462C">
        <w:rPr>
          <w:rFonts w:ascii="Arial" w:hAnsi="Arial"/>
          <w:sz w:val="22"/>
          <w:szCs w:val="22"/>
          <w:lang w:eastAsia="x-none"/>
        </w:rPr>
        <w:t> </w:t>
      </w:r>
      <w:r w:rsidRPr="00B5462C">
        <w:rPr>
          <w:rFonts w:ascii="Arial" w:hAnsi="Arial"/>
          <w:sz w:val="22"/>
          <w:szCs w:val="22"/>
          <w:lang w:val="x-none" w:eastAsia="x-none"/>
        </w:rPr>
        <w:t>I. In Teilaufgabe</w:t>
      </w:r>
      <w:r w:rsidRPr="00B5462C">
        <w:rPr>
          <w:rFonts w:ascii="Arial" w:hAnsi="Arial"/>
          <w:sz w:val="22"/>
          <w:szCs w:val="22"/>
          <w:lang w:eastAsia="x-none"/>
        </w:rPr>
        <w:t> </w:t>
      </w:r>
      <w:r w:rsidRPr="00B5462C">
        <w:rPr>
          <w:rFonts w:ascii="Arial" w:hAnsi="Arial"/>
          <w:sz w:val="22"/>
          <w:szCs w:val="22"/>
          <w:lang w:val="x-none" w:eastAsia="x-none"/>
        </w:rPr>
        <w:t>2 muss „rückwärts“ gearbeitet werden. Eine Wahrscheinlichkeit ist gegeben und eine passende Farbe ist gesucht. Daher kann diese Teilaufgabe bereits dem Anforderungsbereich</w:t>
      </w:r>
      <w:r w:rsidRPr="00B5462C">
        <w:rPr>
          <w:rFonts w:ascii="Arial" w:hAnsi="Arial"/>
          <w:sz w:val="22"/>
          <w:szCs w:val="22"/>
          <w:lang w:eastAsia="x-none"/>
        </w:rPr>
        <w:t> </w:t>
      </w:r>
      <w:r w:rsidRPr="00B5462C">
        <w:rPr>
          <w:rFonts w:ascii="Arial" w:hAnsi="Arial"/>
          <w:sz w:val="22"/>
          <w:szCs w:val="22"/>
          <w:lang w:val="x-none" w:eastAsia="x-none"/>
        </w:rPr>
        <w:t>II zugeordnet werden.</w:t>
      </w:r>
    </w:p>
    <w:p w:rsidR="00694A63" w:rsidRPr="00694A63" w:rsidRDefault="00694A63" w:rsidP="00694A63">
      <w:pPr>
        <w:pStyle w:val="IQB-Teilaufgabentitel"/>
        <w:rPr>
          <w:b/>
        </w:rPr>
      </w:pPr>
      <w:r w:rsidRPr="00694A63">
        <w:rPr>
          <w:b/>
        </w:rPr>
        <w:t>Anregungen für den Unterricht</w:t>
      </w:r>
    </w:p>
    <w:p w:rsidR="00B5462C" w:rsidRPr="00B5462C" w:rsidRDefault="00B5462C" w:rsidP="00B5462C">
      <w:pPr>
        <w:jc w:val="both"/>
        <w:rPr>
          <w:rFonts w:ascii="Arial" w:hAnsi="Arial"/>
          <w:sz w:val="22"/>
          <w:szCs w:val="22"/>
        </w:rPr>
      </w:pPr>
      <w:r w:rsidRPr="00B5462C">
        <w:rPr>
          <w:rFonts w:ascii="Arial" w:hAnsi="Arial"/>
          <w:sz w:val="22"/>
          <w:szCs w:val="22"/>
        </w:rPr>
        <w:t>Die Aufgabe „Rot, gelb, grün“ gibt aufgrund ihres gestaffelten Aufbaus die Möglichkeit, das Verständnis von Schülerinnen und Schülern über das Urnenmodell bei einmaligem Ziehen zu diagnostizieren. So muss in Teilaufgabe 1 zur Auswahl des richtigen Bruchs erkannt werden, dass zwar nur eine Kugel gezogen wird, jedoch die Anzahl grüner Kugeln im Zähler des Bruchs stehen muss (Fehler in Ankreuzmöglichkeit 1 und 3). Des Weiteren muss klar sein, dass man zur Angabe der Wahrscheinlichkeit die Gesamtzahl der Kugeln im Nenner benötigt und nicht wie bei der Angabe eines Verhältnisses die Anzahl der gewünschten Kugeln der Anzahl der unerwünschten Kugeln gegenüberstellt (Fehler in Ankreuzmöglichkeiten 1 und 2). Das Kürzen des gesuchten Bruchs ist nicht notwendig bzw. möglich. In Teilaufgabe 2 wird nun zusätzlich das Wissen vorausgesetzt, dass verschiedene Brüche, gekürzt oder ungekürzt, für die gleiche Wahrscheinlichkeit stehen können. Im Folgenden soll anhand ausgewählter Schülerlösungen verdeutlicht werden, wie man beide Teilaufgaben zusammen nutzen kann, um hier gezielt diagnostizieren zu können.</w:t>
      </w:r>
    </w:p>
    <w:p w:rsidR="00B5462C" w:rsidRPr="00B5462C" w:rsidRDefault="00B5462C" w:rsidP="00B5462C">
      <w:pPr>
        <w:jc w:val="both"/>
        <w:rPr>
          <w:rFonts w:ascii="Arial" w:hAnsi="Arial"/>
          <w:sz w:val="18"/>
        </w:rPr>
      </w:pPr>
    </w:p>
    <w:p w:rsidR="00B5462C" w:rsidRPr="00B5462C" w:rsidRDefault="00B5462C" w:rsidP="00B5462C">
      <w:pPr>
        <w:jc w:val="both"/>
        <w:rPr>
          <w:rFonts w:ascii="Arial" w:hAnsi="Arial"/>
          <w:sz w:val="22"/>
          <w:szCs w:val="22"/>
        </w:rPr>
      </w:pPr>
      <w:r w:rsidRPr="00B5462C">
        <w:rPr>
          <w:rFonts w:ascii="Arial" w:hAnsi="Arial"/>
          <w:sz w:val="22"/>
          <w:szCs w:val="22"/>
        </w:rPr>
        <w:t>In Schülerlösung 1 wird in der Begründung zur zweiten Teilaufgabe deutlich, dass der Schüler nicht die Gesamtzahl aller Kugeln bestimmt, sondern eine Sorte von Kugeln den übrigen Kugeln gegenüberstellen möchte. Dieser Fehler tritt auch in Teilaufgabe 1 auf und wird somit konsistent in der kompletten Aufgabe begangen. Dem Schüler ist der Unterschied zwischen dem Verhältnis </w:t>
      </w:r>
      <w:r w:rsidRPr="00B5462C">
        <w:rPr>
          <w:rFonts w:ascii="Arial" w:hAnsi="Arial"/>
          <w:position w:val="-6"/>
          <w:sz w:val="18"/>
        </w:rPr>
        <w:object w:dxaOrig="36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style="width:18.4pt;height:13.4pt" o:ole="">
            <v:imagedata r:id="rId8" o:title=""/>
          </v:shape>
          <o:OLEObject Type="Embed" ProgID="Equation.DSMT4" ShapeID="_x0000_i1059" DrawAspect="Content" ObjectID="_1814789069" r:id="rId9"/>
        </w:object>
      </w:r>
      <w:r w:rsidRPr="00B5462C">
        <w:rPr>
          <w:rFonts w:ascii="Arial" w:hAnsi="Arial"/>
          <w:sz w:val="22"/>
          <w:szCs w:val="22"/>
        </w:rPr>
        <w:t xml:space="preserve"> und der Wahrscheinlichkeit </w:t>
      </w:r>
      <w:r w:rsidRPr="00B5462C">
        <w:rPr>
          <w:rFonts w:ascii="Arial" w:hAnsi="Arial"/>
          <w:position w:val="-22"/>
          <w:sz w:val="18"/>
        </w:rPr>
        <w:object w:dxaOrig="220" w:dyaOrig="580">
          <v:shape id="_x0000_i1060" type="#_x0000_t75" style="width:10.9pt;height:29.3pt" o:ole="">
            <v:imagedata r:id="rId10" o:title=""/>
          </v:shape>
          <o:OLEObject Type="Embed" ProgID="Equation.DSMT4" ShapeID="_x0000_i1060" DrawAspect="Content" ObjectID="_1814789070" r:id="rId11"/>
        </w:object>
      </w:r>
      <w:r w:rsidRPr="00B5462C">
        <w:rPr>
          <w:rFonts w:ascii="Arial" w:hAnsi="Arial"/>
          <w:sz w:val="22"/>
          <w:szCs w:val="22"/>
        </w:rPr>
        <w:t xml:space="preserve"> nicht klar. Auffällig ist aber, dass er durchaus berücksichtigt, dass ein gekürzter und ein ungekürzter Bruch dieselbe Wahrscheinlichkeit bezeichnen können. Weiterhin macht die Schülerlösung deutlich, dass für den Nenner des Bruchs die Anzahl aller Kugeln einer </w:t>
      </w:r>
      <w:r w:rsidRPr="00B5462C">
        <w:rPr>
          <w:rFonts w:ascii="Arial" w:hAnsi="Arial"/>
          <w:sz w:val="22"/>
          <w:szCs w:val="22"/>
        </w:rPr>
        <w:lastRenderedPageBreak/>
        <w:t>Farbe entscheidend ist, auch wenn nur eine einzige Kugel gezogen wird. Auch diese Vermutung wird dadurch gestützt, dass sie in beiden Teilaufgaben konsistent auftritt.</w:t>
      </w:r>
    </w:p>
    <w:p w:rsidR="00B5462C" w:rsidRPr="00B5462C" w:rsidRDefault="00B5462C" w:rsidP="00B5462C">
      <w:pPr>
        <w:rPr>
          <w:rFonts w:ascii="Arial" w:hAnsi="Arial"/>
          <w:sz w:val="18"/>
        </w:rPr>
      </w:pPr>
    </w:p>
    <w:p w:rsidR="00B5462C" w:rsidRPr="00B5462C" w:rsidRDefault="00B5462C" w:rsidP="00B5462C">
      <w:pPr>
        <w:keepNext/>
        <w:rPr>
          <w:rFonts w:ascii="Arial" w:hAnsi="Arial"/>
          <w:sz w:val="18"/>
        </w:rPr>
      </w:pPr>
      <w:r w:rsidRPr="00B5462C">
        <w:rPr>
          <w:rFonts w:ascii="Arial" w:hAnsi="Arial"/>
          <w:noProof/>
          <w:sz w:val="18"/>
        </w:rPr>
        <w:drawing>
          <wp:inline distT="0" distB="0" distL="0" distR="0">
            <wp:extent cx="4051300" cy="4231640"/>
            <wp:effectExtent l="19050" t="19050" r="25400" b="1651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51300" cy="4231640"/>
                    </a:xfrm>
                    <a:prstGeom prst="rect">
                      <a:avLst/>
                    </a:prstGeom>
                    <a:noFill/>
                    <a:ln w="9525" cmpd="sng">
                      <a:solidFill>
                        <a:srgbClr val="000000"/>
                      </a:solidFill>
                      <a:miter lim="800000"/>
                      <a:headEnd/>
                      <a:tailEnd/>
                    </a:ln>
                    <a:effectLst/>
                  </pic:spPr>
                </pic:pic>
              </a:graphicData>
            </a:graphic>
          </wp:inline>
        </w:drawing>
      </w:r>
    </w:p>
    <w:p w:rsidR="00B5462C" w:rsidRPr="00B5462C" w:rsidRDefault="00B5462C" w:rsidP="00B5462C">
      <w:pPr>
        <w:rPr>
          <w:rFonts w:ascii="Arial" w:hAnsi="Arial"/>
          <w:bCs/>
          <w:i/>
          <w:sz w:val="20"/>
          <w:szCs w:val="20"/>
        </w:rPr>
      </w:pPr>
      <w:r w:rsidRPr="00B5462C">
        <w:rPr>
          <w:rFonts w:ascii="Arial" w:hAnsi="Arial"/>
          <w:bCs/>
          <w:i/>
          <w:sz w:val="20"/>
          <w:szCs w:val="20"/>
        </w:rPr>
        <w:t>Abbildung 1: Schülerlösung 1</w:t>
      </w:r>
    </w:p>
    <w:p w:rsidR="00B5462C" w:rsidRPr="00B5462C" w:rsidRDefault="00B5462C" w:rsidP="00B5462C">
      <w:pPr>
        <w:rPr>
          <w:rFonts w:ascii="Arial" w:hAnsi="Arial"/>
          <w:sz w:val="18"/>
        </w:rPr>
      </w:pPr>
    </w:p>
    <w:p w:rsidR="00B5462C" w:rsidRPr="00B5462C" w:rsidRDefault="00B5462C" w:rsidP="00B5462C">
      <w:pPr>
        <w:jc w:val="both"/>
        <w:rPr>
          <w:rFonts w:ascii="Arial" w:hAnsi="Arial"/>
          <w:sz w:val="22"/>
          <w:szCs w:val="22"/>
        </w:rPr>
      </w:pPr>
      <w:r w:rsidRPr="00B5462C">
        <w:rPr>
          <w:rFonts w:ascii="Arial" w:hAnsi="Arial"/>
          <w:sz w:val="22"/>
          <w:szCs w:val="22"/>
        </w:rPr>
        <w:t xml:space="preserve">In Schülerlösung 2 ist Teilaufgabe 1 richtig beantwortet. Allerdings zeigt sich durch Teilaufgabe 2, dass das Verständnis zum Urnenmodell nur oberflächlich vorhanden ist. In Teilaufgabe 2 wird davon ausgegangen, dass die Anzahl einer Sorte von Kugeln auch automatisch mit den Zahlenangaben in einem Bruch in direktem Zusammenhang steht. Die Möglichkeit, dass die Angabe der Wahrscheinlichkeit durch einen gekürzten Bruch erfolgt, wird nicht in Betracht gezogen. So treten gleich auf zwei Ebenen Fehlvorstellungen zu Tage. Zum einen werden die übrigen Kugeln außer Acht gelassen. Betrachtet werden nur noch die roten Kugeln in der Urne. Zum anderen wird die Wahrscheinlichkeit von </w:t>
      </w:r>
      <w:r w:rsidRPr="00B5462C">
        <w:rPr>
          <w:rFonts w:ascii="Arial" w:hAnsi="Arial"/>
          <w:position w:val="-22"/>
          <w:sz w:val="18"/>
        </w:rPr>
        <w:object w:dxaOrig="220" w:dyaOrig="580">
          <v:shape id="_x0000_i1062" type="#_x0000_t75" style="width:10.9pt;height:28.45pt" o:ole="">
            <v:imagedata r:id="rId13" o:title=""/>
          </v:shape>
          <o:OLEObject Type="Embed" ProgID="Equation.DSMT4" ShapeID="_x0000_i1062" DrawAspect="Content" ObjectID="_1814789071" r:id="rId14"/>
        </w:object>
      </w:r>
      <w:r w:rsidRPr="00B5462C">
        <w:rPr>
          <w:rFonts w:ascii="Arial" w:hAnsi="Arial"/>
          <w:sz w:val="22"/>
          <w:szCs w:val="22"/>
        </w:rPr>
        <w:t xml:space="preserve"> damit erklärt, dass von den drei roten Kugeln eine gezogen wird. Dabei würde man dann auf jeden Fall eine rote Kugel ziehen und die Wahrscheinlichkeit müsste 1 betragen. In Teilaufgabe 1 sind diese Verständnisprobleme vermutlich aufgrund des Aufgabenformats nicht zu Tage getreten. Die Antwortmöglichkeit </w:t>
      </w:r>
      <w:r w:rsidRPr="00B5462C">
        <w:rPr>
          <w:rFonts w:ascii="Arial" w:hAnsi="Arial"/>
          <w:position w:val="-22"/>
          <w:sz w:val="18"/>
        </w:rPr>
        <w:object w:dxaOrig="220" w:dyaOrig="580">
          <v:shape id="_x0000_i1063" type="#_x0000_t75" style="width:10.9pt;height:28.45pt" o:ole="">
            <v:imagedata r:id="rId15" o:title=""/>
          </v:shape>
          <o:OLEObject Type="Embed" ProgID="Equation.DSMT4" ShapeID="_x0000_i1063" DrawAspect="Content" ObjectID="_1814789072" r:id="rId16"/>
        </w:object>
      </w:r>
      <w:r w:rsidRPr="00B5462C">
        <w:rPr>
          <w:rFonts w:ascii="Arial" w:hAnsi="Arial"/>
          <w:sz w:val="22"/>
          <w:szCs w:val="22"/>
        </w:rPr>
        <w:t xml:space="preserve"> ist dort nicht vorhanden und gekürzte Brüche kommen nicht vor. </w:t>
      </w:r>
    </w:p>
    <w:p w:rsidR="00B5462C" w:rsidRPr="00B5462C" w:rsidRDefault="00B5462C" w:rsidP="00B5462C">
      <w:pPr>
        <w:jc w:val="both"/>
        <w:rPr>
          <w:rFonts w:ascii="Arial" w:hAnsi="Arial"/>
          <w:sz w:val="18"/>
        </w:rPr>
      </w:pPr>
    </w:p>
    <w:p w:rsidR="00B5462C" w:rsidRPr="00B5462C" w:rsidRDefault="00B5462C" w:rsidP="00B5462C">
      <w:pPr>
        <w:jc w:val="both"/>
        <w:rPr>
          <w:rFonts w:ascii="Arial" w:hAnsi="Arial"/>
          <w:sz w:val="18"/>
        </w:rPr>
      </w:pPr>
      <w:bookmarkStart w:id="0" w:name="_GoBack"/>
      <w:bookmarkEnd w:id="0"/>
    </w:p>
    <w:p w:rsidR="00B5462C" w:rsidRPr="00B5462C" w:rsidRDefault="00B5462C" w:rsidP="00B5462C">
      <w:pPr>
        <w:keepNext/>
        <w:rPr>
          <w:rFonts w:ascii="Arial" w:hAnsi="Arial"/>
          <w:sz w:val="18"/>
        </w:rPr>
      </w:pPr>
      <w:r w:rsidRPr="00B5462C">
        <w:rPr>
          <w:rFonts w:ascii="Arial" w:hAnsi="Arial"/>
          <w:noProof/>
          <w:sz w:val="18"/>
        </w:rPr>
        <w:lastRenderedPageBreak/>
        <w:drawing>
          <wp:inline distT="0" distB="0" distL="0" distR="0">
            <wp:extent cx="4040505" cy="4231640"/>
            <wp:effectExtent l="19050" t="19050" r="17145" b="1651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40505" cy="4231640"/>
                    </a:xfrm>
                    <a:prstGeom prst="rect">
                      <a:avLst/>
                    </a:prstGeom>
                    <a:noFill/>
                    <a:ln w="9525" cmpd="sng">
                      <a:solidFill>
                        <a:srgbClr val="000000"/>
                      </a:solidFill>
                      <a:miter lim="800000"/>
                      <a:headEnd/>
                      <a:tailEnd/>
                    </a:ln>
                    <a:effectLst/>
                  </pic:spPr>
                </pic:pic>
              </a:graphicData>
            </a:graphic>
          </wp:inline>
        </w:drawing>
      </w:r>
    </w:p>
    <w:p w:rsidR="00B5462C" w:rsidRPr="00B5462C" w:rsidRDefault="00B5462C" w:rsidP="00B5462C">
      <w:pPr>
        <w:rPr>
          <w:rFonts w:ascii="Arial" w:hAnsi="Arial"/>
          <w:bCs/>
          <w:i/>
          <w:sz w:val="20"/>
          <w:szCs w:val="20"/>
        </w:rPr>
      </w:pPr>
      <w:r w:rsidRPr="00B5462C">
        <w:rPr>
          <w:rFonts w:ascii="Arial" w:hAnsi="Arial"/>
          <w:bCs/>
          <w:i/>
          <w:sz w:val="20"/>
          <w:szCs w:val="20"/>
        </w:rPr>
        <w:t>Abbildung 2: Schülerlösung 2</w:t>
      </w:r>
    </w:p>
    <w:p w:rsidR="00694A63" w:rsidRPr="005B2F65" w:rsidRDefault="00694A63" w:rsidP="00B5462C">
      <w:pPr>
        <w:jc w:val="both"/>
        <w:rPr>
          <w:sz w:val="22"/>
          <w:szCs w:val="22"/>
        </w:rPr>
      </w:pPr>
    </w:p>
    <w:sectPr w:rsidR="00694A63" w:rsidRPr="005B2F65" w:rsidSect="00DB65DC">
      <w:headerReference w:type="even" r:id="rId18"/>
      <w:headerReference w:type="default" r:id="rId19"/>
      <w:footerReference w:type="even" r:id="rId20"/>
      <w:footerReference w:type="default" r:id="rId21"/>
      <w:headerReference w:type="first" r:id="rId22"/>
      <w:footerReference w:type="first" r:id="rId2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A3D215DF-6757-4BB4-A95B-FE7045E784B0}"/>
    <w:embedBold r:id="rId2" w:fontKey="{323709F5-FC12-4964-BE7A-57EA9FADCB65}"/>
    <w:embedItalic r:id="rId3" w:fontKey="{3517868A-83BB-42D6-93FA-24AD236A2D79}"/>
    <w:embedBoldItalic r:id="rId4" w:fontKey="{3391C02E-677F-47D2-AF04-4E0B863E2859}"/>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5462C"/>
    <w:rsid w:val="00B8136A"/>
    <w:rsid w:val="00BC76A7"/>
    <w:rsid w:val="00BE7001"/>
    <w:rsid w:val="00C14B64"/>
    <w:rsid w:val="00C1611A"/>
    <w:rsid w:val="00C2374F"/>
    <w:rsid w:val="00C2385F"/>
    <w:rsid w:val="00C630C9"/>
    <w:rsid w:val="00C74A96"/>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8305"/>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w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footer" Target="footer3.xml"/><Relationship Id="rId10" Type="http://schemas.openxmlformats.org/officeDocument/2006/relationships/image" Target="media/image2.wmf"/><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598B0F-322F-4011-B4EB-D4A0AC6A94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546</Words>
  <Characters>3903</Characters>
  <Application>Microsoft Office Word</Application>
  <DocSecurity>0</DocSecurity>
  <Lines>70</Lines>
  <Paragraphs>29</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2025-07-23T13:17:00Z</dcterms:created>
  <dcterms:modified xsi:type="dcterms:W3CDTF">2025-07-23T13:17:00Z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